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1EECBE77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6961F0">
        <w:rPr>
          <w:rFonts w:ascii="Tahoma" w:hAnsi="Tahoma" w:cs="Tahoma"/>
          <w:sz w:val="18"/>
          <w:szCs w:val="18"/>
        </w:rPr>
        <w:t>1</w:t>
      </w:r>
      <w:r w:rsidR="00D30628">
        <w:rPr>
          <w:rFonts w:ascii="Tahoma" w:hAnsi="Tahoma" w:cs="Tahoma"/>
          <w:sz w:val="18"/>
          <w:szCs w:val="18"/>
        </w:rPr>
        <w:t>3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6B5C1A">
        <w:rPr>
          <w:rFonts w:ascii="Tahoma" w:hAnsi="Tahoma" w:cs="Tahoma"/>
          <w:sz w:val="18"/>
          <w:szCs w:val="18"/>
        </w:rPr>
        <w:t>3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D30628">
        <w:rPr>
          <w:rFonts w:ascii="Tahoma" w:hAnsi="Tahoma" w:cs="Tahoma"/>
          <w:sz w:val="18"/>
          <w:szCs w:val="18"/>
        </w:rPr>
        <w:t>0</w:t>
      </w:r>
      <w:r w:rsidR="00347A3D">
        <w:rPr>
          <w:rFonts w:ascii="Tahoma" w:hAnsi="Tahoma" w:cs="Tahoma"/>
          <w:sz w:val="18"/>
          <w:szCs w:val="18"/>
          <w:lang w:val="en-US"/>
        </w:rPr>
        <w:t>5</w:t>
      </w:r>
      <w:bookmarkStart w:id="0" w:name="_GoBack"/>
      <w:bookmarkEnd w:id="0"/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D30628">
        <w:rPr>
          <w:rFonts w:ascii="Tahoma" w:hAnsi="Tahoma" w:cs="Tahoma"/>
          <w:sz w:val="18"/>
          <w:szCs w:val="18"/>
        </w:rPr>
        <w:t>4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6961F0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3E89336" w14:textId="5CFF2FA8" w:rsidR="006E7D37" w:rsidRPr="002C6A52" w:rsidRDefault="00E66160" w:rsidP="006E7D3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Енисейское пароходство наращивает интенсивность судоремонта</w:t>
      </w:r>
    </w:p>
    <w:p w14:paraId="19DDC61D" w14:textId="7AE08766" w:rsidR="00D30628" w:rsidRDefault="00D30628" w:rsidP="00D30628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Pr="00D30628">
        <w:rPr>
          <w:rFonts w:ascii="Tahoma" w:hAnsi="Tahoma" w:cs="Tahoma"/>
          <w:sz w:val="24"/>
          <w:szCs w:val="24"/>
        </w:rPr>
        <w:t>аботник</w:t>
      </w:r>
      <w:r>
        <w:rPr>
          <w:rFonts w:ascii="Tahoma" w:hAnsi="Tahoma" w:cs="Tahoma"/>
          <w:sz w:val="24"/>
          <w:szCs w:val="24"/>
        </w:rPr>
        <w:t>и</w:t>
      </w:r>
      <w:r w:rsidRPr="00D30628">
        <w:rPr>
          <w:rFonts w:ascii="Tahoma" w:hAnsi="Tahoma" w:cs="Tahoma"/>
          <w:sz w:val="24"/>
          <w:szCs w:val="24"/>
        </w:rPr>
        <w:t xml:space="preserve"> плавсостава Енисейского речного пароходства вышли на работу после межнавигационных отпусков. Экипажи во главе с капитанами подключились к подготовке судов к навигации</w:t>
      </w:r>
      <w:r w:rsidR="00DC0603">
        <w:rPr>
          <w:rFonts w:ascii="Tahoma" w:hAnsi="Tahoma" w:cs="Tahoma"/>
          <w:sz w:val="24"/>
          <w:szCs w:val="24"/>
        </w:rPr>
        <w:t>, до начала которой осталось менее месяца</w:t>
      </w:r>
      <w:r w:rsidRPr="00D30628">
        <w:rPr>
          <w:rFonts w:ascii="Tahoma" w:hAnsi="Tahoma" w:cs="Tahoma"/>
          <w:sz w:val="24"/>
          <w:szCs w:val="24"/>
        </w:rPr>
        <w:t xml:space="preserve">. </w:t>
      </w:r>
    </w:p>
    <w:p w14:paraId="6C060985" w14:textId="22EDB689" w:rsidR="00D30628" w:rsidRPr="00D30628" w:rsidRDefault="00E66160" w:rsidP="00D30628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Именно на весенний период приходятся пиковые нагрузки судоремонтной кампании.</w:t>
      </w:r>
      <w:r w:rsidR="00D30628" w:rsidRPr="00D30628">
        <w:rPr>
          <w:rFonts w:ascii="Tahoma" w:hAnsi="Tahoma" w:cs="Tahoma"/>
          <w:sz w:val="24"/>
          <w:szCs w:val="24"/>
        </w:rPr>
        <w:t xml:space="preserve"> В это время подготовка флота ведется совместными силами </w:t>
      </w:r>
      <w:r w:rsidR="00D30628">
        <w:rPr>
          <w:rFonts w:ascii="Tahoma" w:hAnsi="Tahoma" w:cs="Tahoma"/>
          <w:sz w:val="24"/>
          <w:szCs w:val="24"/>
        </w:rPr>
        <w:t>береговых подразделений</w:t>
      </w:r>
      <w:r w:rsidR="00D30628" w:rsidRPr="00D30628">
        <w:rPr>
          <w:rFonts w:ascii="Tahoma" w:hAnsi="Tahoma" w:cs="Tahoma"/>
          <w:sz w:val="24"/>
          <w:szCs w:val="24"/>
        </w:rPr>
        <w:t xml:space="preserve"> и экипажей судов. Приток работников позволил в два раза увеличить интенсивность работ на судоремонтных предприятиях.</w:t>
      </w:r>
    </w:p>
    <w:p w14:paraId="3EA81BFE" w14:textId="78867372" w:rsidR="00D30628" w:rsidRDefault="00D30628" w:rsidP="00D30628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 w:rsidRPr="00D30628">
        <w:rPr>
          <w:rFonts w:ascii="Tahoma" w:hAnsi="Tahoma" w:cs="Tahoma"/>
          <w:sz w:val="24"/>
          <w:szCs w:val="24"/>
        </w:rPr>
        <w:t xml:space="preserve">Всего в </w:t>
      </w:r>
      <w:r w:rsidR="00636D51">
        <w:rPr>
          <w:rFonts w:ascii="Tahoma" w:hAnsi="Tahoma" w:cs="Tahoma"/>
          <w:sz w:val="24"/>
          <w:szCs w:val="24"/>
        </w:rPr>
        <w:t xml:space="preserve">Енисейском речном </w:t>
      </w:r>
      <w:r w:rsidRPr="00D30628">
        <w:rPr>
          <w:rFonts w:ascii="Tahoma" w:hAnsi="Tahoma" w:cs="Tahoma"/>
          <w:sz w:val="24"/>
          <w:szCs w:val="24"/>
        </w:rPr>
        <w:t xml:space="preserve">пароходстве </w:t>
      </w:r>
      <w:r w:rsidR="00DD348C">
        <w:rPr>
          <w:rFonts w:ascii="Tahoma" w:hAnsi="Tahoma" w:cs="Tahoma"/>
          <w:sz w:val="24"/>
          <w:szCs w:val="24"/>
        </w:rPr>
        <w:t>готовят к работе</w:t>
      </w:r>
      <w:r w:rsidRPr="00D3062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более </w:t>
      </w:r>
      <w:r w:rsidRPr="00D3062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00</w:t>
      </w:r>
      <w:r w:rsidRPr="00D30628">
        <w:rPr>
          <w:rFonts w:ascii="Tahoma" w:hAnsi="Tahoma" w:cs="Tahoma"/>
          <w:sz w:val="24"/>
          <w:szCs w:val="24"/>
        </w:rPr>
        <w:t xml:space="preserve"> единиц флота. На основной массе судов идет текущий ремонт, часть флота подлежит более затратному среднему ремонту. Кроме того, на </w:t>
      </w:r>
      <w:r>
        <w:rPr>
          <w:rFonts w:ascii="Tahoma" w:hAnsi="Tahoma" w:cs="Tahoma"/>
          <w:sz w:val="24"/>
          <w:szCs w:val="24"/>
        </w:rPr>
        <w:t>ряде судов</w:t>
      </w:r>
      <w:r w:rsidRPr="00D3062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выполняют </w:t>
      </w:r>
      <w:r w:rsidRPr="00D30628">
        <w:rPr>
          <w:rFonts w:ascii="Tahoma" w:hAnsi="Tahoma" w:cs="Tahoma"/>
          <w:sz w:val="24"/>
          <w:szCs w:val="24"/>
        </w:rPr>
        <w:t>капитальные восстановительные ремонты, замен</w:t>
      </w:r>
      <w:r w:rsidR="00E66160">
        <w:rPr>
          <w:rFonts w:ascii="Tahoma" w:hAnsi="Tahoma" w:cs="Tahoma"/>
          <w:sz w:val="24"/>
          <w:szCs w:val="24"/>
        </w:rPr>
        <w:t>у</w:t>
      </w:r>
      <w:r w:rsidRPr="00D30628">
        <w:rPr>
          <w:rFonts w:ascii="Tahoma" w:hAnsi="Tahoma" w:cs="Tahoma"/>
          <w:sz w:val="24"/>
          <w:szCs w:val="24"/>
        </w:rPr>
        <w:t xml:space="preserve"> главных двигателей</w:t>
      </w:r>
      <w:r w:rsidR="00E66160">
        <w:rPr>
          <w:rFonts w:ascii="Tahoma" w:hAnsi="Tahoma" w:cs="Tahoma"/>
          <w:sz w:val="24"/>
          <w:szCs w:val="24"/>
        </w:rPr>
        <w:t xml:space="preserve">, </w:t>
      </w:r>
      <w:r w:rsidR="00E66160" w:rsidRPr="008A509C">
        <w:rPr>
          <w:rFonts w:ascii="Tahoma" w:hAnsi="Tahoma" w:cs="Tahoma"/>
          <w:sz w:val="24"/>
          <w:szCs w:val="24"/>
        </w:rPr>
        <w:t>дизель-генераторны</w:t>
      </w:r>
      <w:r w:rsidR="00E66160">
        <w:rPr>
          <w:rFonts w:ascii="Tahoma" w:hAnsi="Tahoma" w:cs="Tahoma"/>
          <w:sz w:val="24"/>
          <w:szCs w:val="24"/>
        </w:rPr>
        <w:t>х</w:t>
      </w:r>
      <w:r w:rsidR="00E66160" w:rsidRPr="008A509C">
        <w:rPr>
          <w:rFonts w:ascii="Tahoma" w:hAnsi="Tahoma" w:cs="Tahoma"/>
          <w:sz w:val="24"/>
          <w:szCs w:val="24"/>
        </w:rPr>
        <w:t xml:space="preserve"> </w:t>
      </w:r>
      <w:r w:rsidR="00E66160">
        <w:rPr>
          <w:rFonts w:ascii="Tahoma" w:hAnsi="Tahoma" w:cs="Tahoma"/>
          <w:sz w:val="24"/>
          <w:szCs w:val="24"/>
        </w:rPr>
        <w:t>агрегатов,</w:t>
      </w:r>
      <w:r w:rsidR="00E66160" w:rsidRPr="008A509C">
        <w:rPr>
          <w:rFonts w:ascii="Tahoma" w:hAnsi="Tahoma" w:cs="Tahoma"/>
          <w:sz w:val="24"/>
          <w:szCs w:val="24"/>
        </w:rPr>
        <w:t xml:space="preserve"> </w:t>
      </w:r>
      <w:r w:rsidR="00E66160">
        <w:rPr>
          <w:rFonts w:ascii="Tahoma" w:hAnsi="Tahoma" w:cs="Tahoma"/>
          <w:sz w:val="24"/>
          <w:szCs w:val="24"/>
        </w:rPr>
        <w:t>силовых установок дизель-генераторов, отопительных котлов и прочих крупных механизмов</w:t>
      </w:r>
      <w:r w:rsidR="001A39B2">
        <w:rPr>
          <w:rFonts w:ascii="Tahoma" w:hAnsi="Tahoma" w:cs="Tahoma"/>
          <w:sz w:val="24"/>
          <w:szCs w:val="24"/>
        </w:rPr>
        <w:t>,</w:t>
      </w:r>
      <w:r w:rsidR="00E66160">
        <w:rPr>
          <w:rFonts w:ascii="Tahoma" w:hAnsi="Tahoma" w:cs="Tahoma"/>
          <w:sz w:val="24"/>
          <w:szCs w:val="24"/>
        </w:rPr>
        <w:t xml:space="preserve"> а также проводят модернизацию. </w:t>
      </w:r>
      <w:r w:rsidRPr="00D30628">
        <w:rPr>
          <w:rFonts w:ascii="Tahoma" w:hAnsi="Tahoma" w:cs="Tahoma"/>
          <w:sz w:val="24"/>
          <w:szCs w:val="24"/>
        </w:rPr>
        <w:t>В том числе несколько буксиров</w:t>
      </w:r>
      <w:r w:rsidR="00636D51">
        <w:rPr>
          <w:rFonts w:ascii="Tahoma" w:hAnsi="Tahoma" w:cs="Tahoma"/>
          <w:sz w:val="24"/>
          <w:szCs w:val="24"/>
        </w:rPr>
        <w:t>,</w:t>
      </w:r>
      <w:r w:rsidRPr="00D30628">
        <w:rPr>
          <w:rFonts w:ascii="Tahoma" w:hAnsi="Tahoma" w:cs="Tahoma"/>
          <w:sz w:val="24"/>
          <w:szCs w:val="24"/>
        </w:rPr>
        <w:t xml:space="preserve"> барж </w:t>
      </w:r>
      <w:r w:rsidR="00636D51">
        <w:rPr>
          <w:rFonts w:ascii="Tahoma" w:hAnsi="Tahoma" w:cs="Tahoma"/>
          <w:sz w:val="24"/>
          <w:szCs w:val="24"/>
        </w:rPr>
        <w:t xml:space="preserve">и плавкранов </w:t>
      </w:r>
      <w:r w:rsidRPr="00D30628">
        <w:rPr>
          <w:rFonts w:ascii="Tahoma" w:hAnsi="Tahoma" w:cs="Tahoma"/>
          <w:sz w:val="24"/>
          <w:szCs w:val="24"/>
        </w:rPr>
        <w:t>будут переоборудованы для присвоения более высок</w:t>
      </w:r>
      <w:r w:rsidR="00E66160">
        <w:rPr>
          <w:rFonts w:ascii="Tahoma" w:hAnsi="Tahoma" w:cs="Tahoma"/>
          <w:sz w:val="24"/>
          <w:szCs w:val="24"/>
        </w:rPr>
        <w:t>их</w:t>
      </w:r>
      <w:r w:rsidRPr="00D30628">
        <w:rPr>
          <w:rFonts w:ascii="Tahoma" w:hAnsi="Tahoma" w:cs="Tahoma"/>
          <w:sz w:val="24"/>
          <w:szCs w:val="24"/>
        </w:rPr>
        <w:t xml:space="preserve"> класс</w:t>
      </w:r>
      <w:r w:rsidR="00E66160">
        <w:rPr>
          <w:rFonts w:ascii="Tahoma" w:hAnsi="Tahoma" w:cs="Tahoma"/>
          <w:sz w:val="24"/>
          <w:szCs w:val="24"/>
        </w:rPr>
        <w:t>ов</w:t>
      </w:r>
      <w:r w:rsidRPr="00D30628">
        <w:rPr>
          <w:rFonts w:ascii="Tahoma" w:hAnsi="Tahoma" w:cs="Tahoma"/>
          <w:sz w:val="24"/>
          <w:szCs w:val="24"/>
        </w:rPr>
        <w:t xml:space="preserve"> плавания</w:t>
      </w:r>
      <w:r w:rsidR="00E66160">
        <w:rPr>
          <w:rFonts w:ascii="Tahoma" w:hAnsi="Tahoma" w:cs="Tahoma"/>
          <w:sz w:val="24"/>
          <w:szCs w:val="24"/>
        </w:rPr>
        <w:t xml:space="preserve"> </w:t>
      </w:r>
      <w:r w:rsidR="00426E04">
        <w:rPr>
          <w:rFonts w:ascii="Tahoma" w:hAnsi="Tahoma" w:cs="Tahoma"/>
          <w:sz w:val="24"/>
          <w:szCs w:val="24"/>
        </w:rPr>
        <w:t xml:space="preserve">«М», </w:t>
      </w:r>
      <w:r w:rsidR="00E66160">
        <w:rPr>
          <w:rFonts w:ascii="Tahoma" w:hAnsi="Tahoma" w:cs="Tahoma"/>
          <w:sz w:val="24"/>
          <w:szCs w:val="24"/>
        </w:rPr>
        <w:t>«М-ПР» и «М-СП»</w:t>
      </w:r>
      <w:r w:rsidRPr="00D30628">
        <w:rPr>
          <w:rFonts w:ascii="Tahoma" w:hAnsi="Tahoma" w:cs="Tahoma"/>
          <w:sz w:val="24"/>
          <w:szCs w:val="24"/>
        </w:rPr>
        <w:t xml:space="preserve">. Это позволит </w:t>
      </w:r>
      <w:r w:rsidR="00636D51">
        <w:rPr>
          <w:rFonts w:ascii="Tahoma" w:hAnsi="Tahoma" w:cs="Tahoma"/>
          <w:sz w:val="24"/>
          <w:szCs w:val="24"/>
        </w:rPr>
        <w:t>пароходству</w:t>
      </w:r>
      <w:r w:rsidRPr="00D30628">
        <w:rPr>
          <w:rFonts w:ascii="Tahoma" w:hAnsi="Tahoma" w:cs="Tahoma"/>
          <w:sz w:val="24"/>
          <w:szCs w:val="24"/>
        </w:rPr>
        <w:t xml:space="preserve"> увеличить мощность флота, задействованного для работы в Енисейском заливе. </w:t>
      </w:r>
    </w:p>
    <w:p w14:paraId="7016BCE0" w14:textId="0B617171" w:rsidR="001A39B2" w:rsidRDefault="001A39B2" w:rsidP="00D30628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Кроме того, в </w:t>
      </w:r>
      <w:r w:rsidR="00DD348C">
        <w:rPr>
          <w:rFonts w:ascii="Tahoma" w:hAnsi="Tahoma" w:cs="Tahoma"/>
          <w:sz w:val="24"/>
          <w:szCs w:val="24"/>
        </w:rPr>
        <w:t>грядущую</w:t>
      </w:r>
      <w:r>
        <w:rPr>
          <w:rFonts w:ascii="Tahoma" w:hAnsi="Tahoma" w:cs="Tahoma"/>
          <w:sz w:val="24"/>
          <w:szCs w:val="24"/>
        </w:rPr>
        <w:t xml:space="preserve"> навигацию выйдут шесть новых барж «морского» класса – из них четыре пароходство получило в 2023 году и две годом ранее. В 2024 году флот компании пополнит очередная партия из четырех аналогичных судов.</w:t>
      </w:r>
    </w:p>
    <w:p w14:paraId="4AA5C002" w14:textId="5DBCF7C7" w:rsidR="001A39B2" w:rsidRDefault="00636D51" w:rsidP="00D30628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</w:t>
      </w:r>
      <w:r w:rsidR="001A39B2">
        <w:rPr>
          <w:rFonts w:ascii="Tahoma" w:hAnsi="Tahoma" w:cs="Tahoma"/>
          <w:sz w:val="24"/>
          <w:szCs w:val="24"/>
        </w:rPr>
        <w:t xml:space="preserve">Качественному и своевременному выполнению судоремонтной программы мы придаем огромное значение. </w:t>
      </w:r>
      <w:r w:rsidR="00DD348C">
        <w:rPr>
          <w:rFonts w:ascii="Tahoma" w:hAnsi="Tahoma" w:cs="Tahoma"/>
          <w:sz w:val="24"/>
          <w:szCs w:val="24"/>
        </w:rPr>
        <w:t xml:space="preserve">Лето в Сибири короткое, </w:t>
      </w:r>
      <w:r w:rsidR="009D7F8B">
        <w:rPr>
          <w:rFonts w:ascii="Tahoma" w:hAnsi="Tahoma" w:cs="Tahoma"/>
          <w:sz w:val="24"/>
          <w:szCs w:val="24"/>
        </w:rPr>
        <w:t>у речников каждая минута на счету</w:t>
      </w:r>
      <w:r w:rsidR="00DD348C">
        <w:rPr>
          <w:rFonts w:ascii="Tahoma" w:hAnsi="Tahoma" w:cs="Tahoma"/>
          <w:sz w:val="24"/>
          <w:szCs w:val="24"/>
        </w:rPr>
        <w:t xml:space="preserve">, </w:t>
      </w:r>
      <w:r w:rsidR="009D7F8B">
        <w:rPr>
          <w:rFonts w:ascii="Tahoma" w:hAnsi="Tahoma" w:cs="Tahoma"/>
          <w:sz w:val="24"/>
          <w:szCs w:val="24"/>
        </w:rPr>
        <w:t xml:space="preserve">поэтому, </w:t>
      </w:r>
      <w:r w:rsidR="00DD348C">
        <w:rPr>
          <w:rFonts w:ascii="Tahoma" w:hAnsi="Tahoma" w:cs="Tahoma"/>
          <w:sz w:val="24"/>
          <w:szCs w:val="24"/>
        </w:rPr>
        <w:t>у</w:t>
      </w:r>
      <w:r w:rsidR="001A39B2">
        <w:rPr>
          <w:rFonts w:ascii="Tahoma" w:hAnsi="Tahoma" w:cs="Tahoma"/>
          <w:sz w:val="24"/>
          <w:szCs w:val="24"/>
        </w:rPr>
        <w:t xml:space="preserve">читывая важность стоящих перед нами задач, необходимо исключить риск поломок и простоя флота в течение навигации», - подчеркнул исполнительный директор Енисейского речного пароходства Евгений Грудинов.  </w:t>
      </w:r>
    </w:p>
    <w:p w14:paraId="2ED17F8B" w14:textId="51009A7B" w:rsidR="00A62F97" w:rsidRDefault="00DD348C" w:rsidP="00D30628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Напомним, что Енисейское речное пароходство – ведущий грузоперевозчик по водным путям бассейна реки Енисей</w:t>
      </w:r>
      <w:r w:rsidR="00AC0E10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располага</w:t>
      </w:r>
      <w:r w:rsidR="00AC0E10">
        <w:rPr>
          <w:rFonts w:ascii="Tahoma" w:hAnsi="Tahoma" w:cs="Tahoma"/>
          <w:sz w:val="24"/>
          <w:szCs w:val="24"/>
        </w:rPr>
        <w:t xml:space="preserve">ет </w:t>
      </w:r>
      <w:r>
        <w:rPr>
          <w:rFonts w:ascii="Tahoma" w:hAnsi="Tahoma" w:cs="Tahoma"/>
          <w:sz w:val="24"/>
          <w:szCs w:val="24"/>
        </w:rPr>
        <w:t xml:space="preserve">самым мощным в регионе </w:t>
      </w:r>
      <w:r w:rsidR="00AC0E10">
        <w:rPr>
          <w:rFonts w:ascii="Tahoma" w:hAnsi="Tahoma" w:cs="Tahoma"/>
          <w:sz w:val="24"/>
          <w:szCs w:val="24"/>
        </w:rPr>
        <w:t xml:space="preserve">речным </w:t>
      </w:r>
      <w:r>
        <w:rPr>
          <w:rFonts w:ascii="Tahoma" w:hAnsi="Tahoma" w:cs="Tahoma"/>
          <w:sz w:val="24"/>
          <w:szCs w:val="24"/>
        </w:rPr>
        <w:t>флотом. Предприятие доставляет грузы в рамках «северного завоза», для обеспечения функционирования Норильского промышленного района, реновации Норильска, реализации проекта «Восток-Ойл» и ряда других направлений. В навигацию 2023 года компания доставила потребителям 3,3 млн тонн грузов. Затраты н</w:t>
      </w:r>
      <w:r w:rsidR="00A62F97" w:rsidRPr="008A509C">
        <w:rPr>
          <w:rFonts w:ascii="Tahoma" w:hAnsi="Tahoma" w:cs="Tahoma"/>
          <w:sz w:val="24"/>
          <w:szCs w:val="24"/>
        </w:rPr>
        <w:t xml:space="preserve">а </w:t>
      </w:r>
      <w:r w:rsidR="00A62F97">
        <w:rPr>
          <w:rFonts w:ascii="Tahoma" w:hAnsi="Tahoma" w:cs="Tahoma"/>
          <w:sz w:val="24"/>
          <w:szCs w:val="24"/>
        </w:rPr>
        <w:t xml:space="preserve">ремонт и модернизацию флота в 2024 году </w:t>
      </w:r>
      <w:r>
        <w:rPr>
          <w:rFonts w:ascii="Tahoma" w:hAnsi="Tahoma" w:cs="Tahoma"/>
          <w:sz w:val="24"/>
          <w:szCs w:val="24"/>
        </w:rPr>
        <w:t>прогнозируются в объеме</w:t>
      </w:r>
      <w:r w:rsidR="00A62F97" w:rsidRPr="008A509C">
        <w:rPr>
          <w:rFonts w:ascii="Tahoma" w:hAnsi="Tahoma" w:cs="Tahoma"/>
          <w:sz w:val="24"/>
          <w:szCs w:val="24"/>
        </w:rPr>
        <w:t xml:space="preserve"> 1 млрд 230 млн рублей – на 16</w:t>
      </w:r>
      <w:r w:rsidR="00A62F97">
        <w:rPr>
          <w:rFonts w:ascii="Tahoma" w:hAnsi="Tahoma" w:cs="Tahoma"/>
          <w:sz w:val="24"/>
          <w:szCs w:val="24"/>
        </w:rPr>
        <w:t>%</w:t>
      </w:r>
      <w:r w:rsidR="00A62F97" w:rsidRPr="008A509C">
        <w:rPr>
          <w:rFonts w:ascii="Tahoma" w:hAnsi="Tahoma" w:cs="Tahoma"/>
          <w:sz w:val="24"/>
          <w:szCs w:val="24"/>
        </w:rPr>
        <w:t xml:space="preserve"> больше, чем в </w:t>
      </w:r>
      <w:r w:rsidR="00A62F97">
        <w:rPr>
          <w:rFonts w:ascii="Tahoma" w:hAnsi="Tahoma" w:cs="Tahoma"/>
          <w:sz w:val="24"/>
          <w:szCs w:val="24"/>
        </w:rPr>
        <w:t>предыдущем</w:t>
      </w:r>
      <w:r w:rsidR="00A62F97" w:rsidRPr="008A509C">
        <w:rPr>
          <w:rFonts w:ascii="Tahoma" w:hAnsi="Tahoma" w:cs="Tahoma"/>
          <w:sz w:val="24"/>
          <w:szCs w:val="24"/>
        </w:rPr>
        <w:t>.</w:t>
      </w:r>
    </w:p>
    <w:p w14:paraId="7EBE88FB" w14:textId="7E04A33C" w:rsidR="00072EF5" w:rsidRDefault="00072EF5" w:rsidP="00404DE5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E53134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AF82" w14:textId="77777777" w:rsidR="00E53134" w:rsidRDefault="00E53134" w:rsidP="000827C1">
      <w:pPr>
        <w:spacing w:after="0" w:line="240" w:lineRule="auto"/>
      </w:pPr>
      <w:r>
        <w:separator/>
      </w:r>
    </w:p>
  </w:endnote>
  <w:endnote w:type="continuationSeparator" w:id="0">
    <w:p w14:paraId="03074CB5" w14:textId="77777777" w:rsidR="00E53134" w:rsidRDefault="00E53134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50A11B1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347A3D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E18D" w14:textId="77777777" w:rsidR="00E53134" w:rsidRDefault="00E53134" w:rsidP="000827C1">
      <w:pPr>
        <w:spacing w:after="0" w:line="240" w:lineRule="auto"/>
      </w:pPr>
      <w:r>
        <w:separator/>
      </w:r>
    </w:p>
  </w:footnote>
  <w:footnote w:type="continuationSeparator" w:id="0">
    <w:p w14:paraId="54AF13AE" w14:textId="77777777" w:rsidR="00E53134" w:rsidRDefault="00E53134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292B"/>
    <w:rsid w:val="00033FF8"/>
    <w:rsid w:val="000421E8"/>
    <w:rsid w:val="00045971"/>
    <w:rsid w:val="00051715"/>
    <w:rsid w:val="00052553"/>
    <w:rsid w:val="00061E97"/>
    <w:rsid w:val="00062897"/>
    <w:rsid w:val="00064E6B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262C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97645"/>
    <w:rsid w:val="001A39B2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47A3D"/>
    <w:rsid w:val="00355E08"/>
    <w:rsid w:val="00360AAF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4DE5"/>
    <w:rsid w:val="00407365"/>
    <w:rsid w:val="00407E90"/>
    <w:rsid w:val="00412D7C"/>
    <w:rsid w:val="00413E91"/>
    <w:rsid w:val="0042033A"/>
    <w:rsid w:val="00426E04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29D0"/>
    <w:rsid w:val="004E40D7"/>
    <w:rsid w:val="004E5A1D"/>
    <w:rsid w:val="004F6794"/>
    <w:rsid w:val="004F70D7"/>
    <w:rsid w:val="004F794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2066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6D51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D77CC"/>
    <w:rsid w:val="006E0475"/>
    <w:rsid w:val="006E1124"/>
    <w:rsid w:val="006E3251"/>
    <w:rsid w:val="006E4FAD"/>
    <w:rsid w:val="006E5CE7"/>
    <w:rsid w:val="006E7D37"/>
    <w:rsid w:val="006F257A"/>
    <w:rsid w:val="007022E8"/>
    <w:rsid w:val="00706A70"/>
    <w:rsid w:val="007219A8"/>
    <w:rsid w:val="00726B34"/>
    <w:rsid w:val="00731296"/>
    <w:rsid w:val="0073291A"/>
    <w:rsid w:val="00750E24"/>
    <w:rsid w:val="007519B9"/>
    <w:rsid w:val="00754050"/>
    <w:rsid w:val="0075695F"/>
    <w:rsid w:val="00760992"/>
    <w:rsid w:val="00760FF2"/>
    <w:rsid w:val="0076162E"/>
    <w:rsid w:val="00770465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691F"/>
    <w:rsid w:val="009C26CA"/>
    <w:rsid w:val="009D103F"/>
    <w:rsid w:val="009D225F"/>
    <w:rsid w:val="009D26E1"/>
    <w:rsid w:val="009D505F"/>
    <w:rsid w:val="009D7F8B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406C0"/>
    <w:rsid w:val="00A4725B"/>
    <w:rsid w:val="00A4730B"/>
    <w:rsid w:val="00A52ECA"/>
    <w:rsid w:val="00A54051"/>
    <w:rsid w:val="00A61247"/>
    <w:rsid w:val="00A62F9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0E10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FA7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628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0603"/>
    <w:rsid w:val="00DC1EF6"/>
    <w:rsid w:val="00DD348C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4E1F"/>
    <w:rsid w:val="00E53134"/>
    <w:rsid w:val="00E539A0"/>
    <w:rsid w:val="00E53C1B"/>
    <w:rsid w:val="00E55506"/>
    <w:rsid w:val="00E60680"/>
    <w:rsid w:val="00E62C7D"/>
    <w:rsid w:val="00E65F24"/>
    <w:rsid w:val="00E66160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C1B06"/>
    <w:rsid w:val="00FC3F0D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D9F4A2-BB52-4C2B-999B-2942E46A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1021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2023-02-15T10:00:00Z</cp:lastPrinted>
  <dcterms:created xsi:type="dcterms:W3CDTF">2024-04-03T10:07:00Z</dcterms:created>
  <dcterms:modified xsi:type="dcterms:W3CDTF">2024-04-05T02:42:00Z</dcterms:modified>
</cp:coreProperties>
</file>